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161" w:rsidRPr="005A144D" w:rsidRDefault="003D1161" w:rsidP="003D1161">
      <w:pPr>
        <w:pStyle w:val="Title"/>
        <w:rPr>
          <w:sz w:val="24"/>
          <w:szCs w:val="24"/>
        </w:rPr>
      </w:pPr>
      <w:r w:rsidRPr="005A144D">
        <w:rPr>
          <w:sz w:val="24"/>
          <w:szCs w:val="24"/>
        </w:rPr>
        <w:t xml:space="preserve">IRB Tip: </w:t>
      </w:r>
      <w:r>
        <w:rPr>
          <w:sz w:val="24"/>
          <w:szCs w:val="24"/>
        </w:rPr>
        <w:t>Examples of Serious or Minor Protocol Violations</w:t>
      </w:r>
    </w:p>
    <w:p w:rsidR="003D1161" w:rsidRPr="005A144D" w:rsidRDefault="003D1161" w:rsidP="003D1161">
      <w:pPr>
        <w:shd w:val="clear" w:color="auto" w:fill="CCCCFF"/>
        <w:jc w:val="center"/>
        <w:rPr>
          <w:b/>
          <w:smallCaps/>
        </w:rPr>
      </w:pPr>
      <w:r w:rsidRPr="005A144D">
        <w:rPr>
          <w:rFonts w:ascii="Century Gothic" w:hAnsi="Century Gothic"/>
          <w:i/>
          <w:smallCaps/>
        </w:rPr>
        <w:t xml:space="preserve">IRB guidance for implementing federal and institutional IRB policies </w:t>
      </w:r>
    </w:p>
    <w:p w:rsidR="003D1161" w:rsidRDefault="003D1161" w:rsidP="003D1161"/>
    <w:p w:rsidR="003D1161" w:rsidRPr="00DB133A" w:rsidRDefault="003D1161" w:rsidP="003D1161">
      <w:pPr>
        <w:rPr>
          <w:sz w:val="22"/>
          <w:szCs w:val="22"/>
        </w:rPr>
      </w:pPr>
      <w:r w:rsidRPr="00DB133A">
        <w:rPr>
          <w:sz w:val="22"/>
          <w:szCs w:val="22"/>
        </w:rPr>
        <w:t xml:space="preserve">The following </w:t>
      </w:r>
      <w:r w:rsidRPr="00DB133A">
        <w:rPr>
          <w:sz w:val="22"/>
          <w:szCs w:val="22"/>
        </w:rPr>
        <w:t xml:space="preserve">provides guidance to help investigators distinguish whether a violation is serious or minor, </w:t>
      </w:r>
      <w:r w:rsidRPr="00DB133A">
        <w:rPr>
          <w:sz w:val="22"/>
          <w:szCs w:val="22"/>
        </w:rPr>
        <w:t xml:space="preserve">as described in the </w:t>
      </w:r>
      <w:r w:rsidRPr="00DB133A">
        <w:rPr>
          <w:sz w:val="22"/>
          <w:szCs w:val="22"/>
        </w:rPr>
        <w:t>Reporting and Managing Protocol Violations P</w:t>
      </w:r>
      <w:r w:rsidRPr="00DB133A">
        <w:rPr>
          <w:sz w:val="22"/>
          <w:szCs w:val="22"/>
        </w:rPr>
        <w:t>rocedure:</w:t>
      </w:r>
    </w:p>
    <w:p w:rsidR="003D1161" w:rsidRPr="00DB133A" w:rsidRDefault="003D1161" w:rsidP="003D1161">
      <w:pPr>
        <w:ind w:left="360" w:hanging="360"/>
        <w:rPr>
          <w:sz w:val="22"/>
          <w:szCs w:val="22"/>
        </w:rPr>
      </w:pPr>
      <w:bookmarkStart w:id="0" w:name="_GoBack"/>
      <w:bookmarkEnd w:id="0"/>
    </w:p>
    <w:p w:rsidR="003D1161" w:rsidRPr="00DB133A" w:rsidRDefault="003D1161" w:rsidP="003D1161">
      <w:pPr>
        <w:ind w:left="360" w:hanging="360"/>
        <w:rPr>
          <w:sz w:val="22"/>
          <w:szCs w:val="22"/>
        </w:rPr>
      </w:pPr>
      <w:r w:rsidRPr="00DB133A">
        <w:rPr>
          <w:sz w:val="22"/>
          <w:szCs w:val="22"/>
        </w:rPr>
        <w:t>1.</w:t>
      </w:r>
      <w:r w:rsidRPr="00DB133A">
        <w:rPr>
          <w:sz w:val="22"/>
          <w:szCs w:val="22"/>
        </w:rPr>
        <w:tab/>
        <w:t>Serious protocol violations include, but are not limited to:</w:t>
      </w:r>
    </w:p>
    <w:p w:rsidR="003D1161" w:rsidRPr="00DB133A" w:rsidRDefault="003D1161" w:rsidP="003D1161">
      <w:pPr>
        <w:ind w:left="360" w:hanging="360"/>
        <w:rPr>
          <w:sz w:val="22"/>
          <w:szCs w:val="22"/>
        </w:rPr>
      </w:pPr>
    </w:p>
    <w:p w:rsidR="003D1161" w:rsidRPr="00DB133A" w:rsidRDefault="003D1161" w:rsidP="003D1161">
      <w:pPr>
        <w:ind w:left="1440" w:hanging="720"/>
        <w:rPr>
          <w:sz w:val="22"/>
          <w:szCs w:val="22"/>
        </w:rPr>
      </w:pPr>
      <w:r w:rsidRPr="00DB133A">
        <w:rPr>
          <w:sz w:val="22"/>
          <w:szCs w:val="22"/>
        </w:rPr>
        <w:t>1.1</w:t>
      </w:r>
      <w:r w:rsidRPr="00DB133A">
        <w:rPr>
          <w:sz w:val="22"/>
          <w:szCs w:val="22"/>
        </w:rPr>
        <w:tab/>
        <w:t>Omission of safety lab work with clinical concern or required lab work that has been repeatedly missed.</w:t>
      </w:r>
    </w:p>
    <w:p w:rsidR="003D1161" w:rsidRPr="00DB133A" w:rsidRDefault="003D1161" w:rsidP="003D1161">
      <w:pPr>
        <w:ind w:left="1440" w:hanging="720"/>
        <w:rPr>
          <w:sz w:val="22"/>
          <w:szCs w:val="22"/>
        </w:rPr>
      </w:pPr>
    </w:p>
    <w:p w:rsidR="003D1161" w:rsidRPr="00DB133A" w:rsidRDefault="003D1161" w:rsidP="003D1161">
      <w:pPr>
        <w:ind w:left="1440" w:hanging="720"/>
        <w:rPr>
          <w:sz w:val="22"/>
          <w:szCs w:val="22"/>
        </w:rPr>
      </w:pPr>
      <w:r w:rsidRPr="00DB133A">
        <w:rPr>
          <w:sz w:val="22"/>
          <w:szCs w:val="22"/>
        </w:rPr>
        <w:t>1.2</w:t>
      </w:r>
      <w:r w:rsidRPr="00DB133A">
        <w:rPr>
          <w:sz w:val="22"/>
          <w:szCs w:val="22"/>
        </w:rPr>
        <w:tab/>
        <w:t>Enrollment of participants who did not meet the eligibility requirements, even if approved by the sponsor.</w:t>
      </w:r>
    </w:p>
    <w:p w:rsidR="003D1161" w:rsidRPr="00DB133A" w:rsidRDefault="003D1161" w:rsidP="003D1161">
      <w:pPr>
        <w:rPr>
          <w:sz w:val="22"/>
          <w:szCs w:val="22"/>
        </w:rPr>
      </w:pPr>
    </w:p>
    <w:p w:rsidR="003D1161" w:rsidRPr="00DB133A" w:rsidRDefault="003D1161" w:rsidP="003D1161">
      <w:pPr>
        <w:ind w:left="1440" w:hanging="720"/>
        <w:rPr>
          <w:sz w:val="22"/>
          <w:szCs w:val="22"/>
        </w:rPr>
      </w:pPr>
      <w:r w:rsidRPr="00DB133A">
        <w:rPr>
          <w:sz w:val="22"/>
          <w:szCs w:val="22"/>
        </w:rPr>
        <w:t>1.3</w:t>
      </w:r>
      <w:r w:rsidRPr="00DB133A">
        <w:rPr>
          <w:sz w:val="22"/>
          <w:szCs w:val="22"/>
        </w:rPr>
        <w:tab/>
        <w:t>Failure to obtain informed consent prior to any study-specific tests/procedures, or as approved by the IRB.</w:t>
      </w:r>
    </w:p>
    <w:p w:rsidR="003D1161" w:rsidRPr="00DB133A" w:rsidRDefault="003D1161" w:rsidP="003D1161">
      <w:pPr>
        <w:ind w:left="1440" w:hanging="720"/>
        <w:rPr>
          <w:sz w:val="22"/>
          <w:szCs w:val="22"/>
        </w:rPr>
      </w:pPr>
    </w:p>
    <w:p w:rsidR="003D1161" w:rsidRPr="00DB133A" w:rsidRDefault="003D1161" w:rsidP="003D1161">
      <w:pPr>
        <w:ind w:left="1440" w:hanging="720"/>
        <w:rPr>
          <w:sz w:val="22"/>
          <w:szCs w:val="22"/>
        </w:rPr>
      </w:pPr>
      <w:r w:rsidRPr="00DB133A">
        <w:rPr>
          <w:sz w:val="22"/>
          <w:szCs w:val="22"/>
        </w:rPr>
        <w:t>1.4</w:t>
      </w:r>
      <w:r w:rsidRPr="00DB133A">
        <w:rPr>
          <w:sz w:val="22"/>
          <w:szCs w:val="22"/>
        </w:rPr>
        <w:tab/>
        <w:t>Failure to follow protocol procedures that specifically relate to the primary safety or efficacy endpoints of the study.</w:t>
      </w:r>
    </w:p>
    <w:p w:rsidR="003D1161" w:rsidRPr="00DB133A" w:rsidRDefault="003D1161" w:rsidP="003D1161">
      <w:pPr>
        <w:ind w:left="1440" w:hanging="720"/>
        <w:rPr>
          <w:sz w:val="22"/>
          <w:szCs w:val="22"/>
        </w:rPr>
      </w:pPr>
    </w:p>
    <w:p w:rsidR="003D1161" w:rsidRPr="00DB133A" w:rsidRDefault="003D1161" w:rsidP="003D1161">
      <w:pPr>
        <w:ind w:left="1440" w:hanging="720"/>
        <w:rPr>
          <w:sz w:val="22"/>
          <w:szCs w:val="22"/>
        </w:rPr>
      </w:pPr>
      <w:r w:rsidRPr="00DB133A">
        <w:rPr>
          <w:sz w:val="22"/>
          <w:szCs w:val="22"/>
        </w:rPr>
        <w:t>1.5</w:t>
      </w:r>
      <w:r w:rsidRPr="00DB133A">
        <w:rPr>
          <w:sz w:val="22"/>
          <w:szCs w:val="22"/>
        </w:rPr>
        <w:tab/>
        <w:t>Failure to follow IRB-approved method for obtaining informed consent.  This includes, but is not limited to: use of expired consent form, consent by telephone (unapproved), no documentation of informed consent, informed consent is obtained after initiation of study procedures, missing subject signature, missing investigator signature, missing signature of person obtaining consent, or missing witness signature.</w:t>
      </w:r>
    </w:p>
    <w:p w:rsidR="003D1161" w:rsidRPr="00DB133A" w:rsidRDefault="003D1161" w:rsidP="003D1161">
      <w:pPr>
        <w:ind w:left="1440" w:hanging="720"/>
        <w:rPr>
          <w:sz w:val="22"/>
          <w:szCs w:val="22"/>
        </w:rPr>
      </w:pPr>
    </w:p>
    <w:p w:rsidR="003D1161" w:rsidRPr="00DB133A" w:rsidRDefault="003D1161" w:rsidP="003D1161">
      <w:pPr>
        <w:ind w:left="1440" w:hanging="720"/>
        <w:rPr>
          <w:sz w:val="22"/>
          <w:szCs w:val="22"/>
        </w:rPr>
      </w:pPr>
      <w:r w:rsidRPr="00DB133A">
        <w:rPr>
          <w:sz w:val="22"/>
          <w:szCs w:val="22"/>
        </w:rPr>
        <w:t>1.6</w:t>
      </w:r>
      <w:r w:rsidRPr="00DB133A">
        <w:rPr>
          <w:sz w:val="22"/>
          <w:szCs w:val="22"/>
        </w:rPr>
        <w:tab/>
        <w:t>Individual obtaining informed consent is not listed on the IRB-approved study personnel list.</w:t>
      </w:r>
    </w:p>
    <w:p w:rsidR="003D1161" w:rsidRPr="00DB133A" w:rsidRDefault="003D1161" w:rsidP="003D1161">
      <w:pPr>
        <w:ind w:left="1440" w:hanging="720"/>
        <w:rPr>
          <w:sz w:val="22"/>
          <w:szCs w:val="22"/>
        </w:rPr>
      </w:pPr>
    </w:p>
    <w:p w:rsidR="003D1161" w:rsidRPr="00DB133A" w:rsidRDefault="003D1161" w:rsidP="003D1161">
      <w:pPr>
        <w:ind w:left="1440" w:hanging="720"/>
        <w:rPr>
          <w:sz w:val="22"/>
          <w:szCs w:val="22"/>
        </w:rPr>
      </w:pPr>
      <w:r w:rsidRPr="00DB133A">
        <w:rPr>
          <w:sz w:val="22"/>
          <w:szCs w:val="22"/>
        </w:rPr>
        <w:t>1.7</w:t>
      </w:r>
      <w:r w:rsidRPr="00DB133A">
        <w:rPr>
          <w:sz w:val="22"/>
          <w:szCs w:val="22"/>
        </w:rPr>
        <w:tab/>
        <w:t>Performing a study procedure that is not approved by the IRB.</w:t>
      </w:r>
    </w:p>
    <w:p w:rsidR="003D1161" w:rsidRPr="00DB133A" w:rsidRDefault="003D1161" w:rsidP="003D1161">
      <w:pPr>
        <w:ind w:left="1440" w:hanging="720"/>
        <w:rPr>
          <w:sz w:val="22"/>
          <w:szCs w:val="22"/>
        </w:rPr>
      </w:pPr>
    </w:p>
    <w:p w:rsidR="003D1161" w:rsidRPr="00DB133A" w:rsidRDefault="003D1161" w:rsidP="003D1161">
      <w:pPr>
        <w:ind w:left="1440" w:hanging="720"/>
        <w:rPr>
          <w:sz w:val="22"/>
          <w:szCs w:val="22"/>
        </w:rPr>
      </w:pPr>
      <w:r w:rsidRPr="00DB133A">
        <w:rPr>
          <w:sz w:val="22"/>
          <w:szCs w:val="22"/>
        </w:rPr>
        <w:t>1.8</w:t>
      </w:r>
      <w:r w:rsidRPr="00DB133A">
        <w:rPr>
          <w:sz w:val="22"/>
          <w:szCs w:val="22"/>
        </w:rPr>
        <w:tab/>
        <w:t>Study visit conducted outside of required time frame that, in the opinion of the PI, may affect subject safety.</w:t>
      </w:r>
    </w:p>
    <w:p w:rsidR="003D1161" w:rsidRPr="00DB133A" w:rsidRDefault="003D1161" w:rsidP="003D1161">
      <w:pPr>
        <w:rPr>
          <w:sz w:val="22"/>
          <w:szCs w:val="22"/>
        </w:rPr>
      </w:pPr>
    </w:p>
    <w:p w:rsidR="003D1161" w:rsidRPr="00DB133A" w:rsidRDefault="003D1161" w:rsidP="003D1161">
      <w:pPr>
        <w:ind w:left="1440" w:hanging="720"/>
        <w:rPr>
          <w:sz w:val="22"/>
          <w:szCs w:val="22"/>
        </w:rPr>
      </w:pPr>
      <w:r w:rsidRPr="00DB133A">
        <w:rPr>
          <w:sz w:val="22"/>
          <w:szCs w:val="22"/>
        </w:rPr>
        <w:t>1.9</w:t>
      </w:r>
      <w:r w:rsidRPr="00DB133A">
        <w:rPr>
          <w:sz w:val="22"/>
          <w:szCs w:val="22"/>
        </w:rPr>
        <w:tab/>
        <w:t>Drug/study medication dispensing or dosing error.</w:t>
      </w:r>
    </w:p>
    <w:p w:rsidR="003D1161" w:rsidRPr="00DB133A" w:rsidRDefault="003D1161" w:rsidP="003D1161">
      <w:pPr>
        <w:ind w:left="1440" w:hanging="720"/>
        <w:rPr>
          <w:sz w:val="22"/>
          <w:szCs w:val="22"/>
        </w:rPr>
      </w:pPr>
    </w:p>
    <w:p w:rsidR="003D1161" w:rsidRPr="00DB133A" w:rsidRDefault="003D1161" w:rsidP="003D1161">
      <w:pPr>
        <w:ind w:left="1440" w:hanging="720"/>
        <w:rPr>
          <w:sz w:val="22"/>
          <w:szCs w:val="22"/>
        </w:rPr>
      </w:pPr>
      <w:r w:rsidRPr="00DB133A">
        <w:rPr>
          <w:sz w:val="22"/>
          <w:szCs w:val="22"/>
        </w:rPr>
        <w:t>1.10</w:t>
      </w:r>
      <w:r w:rsidRPr="00DB133A">
        <w:rPr>
          <w:sz w:val="22"/>
          <w:szCs w:val="22"/>
        </w:rPr>
        <w:tab/>
        <w:t>Implementation of unapproved recruitment procedures.</w:t>
      </w:r>
    </w:p>
    <w:p w:rsidR="003D1161" w:rsidRPr="00DB133A" w:rsidRDefault="003D1161" w:rsidP="003D1161">
      <w:pPr>
        <w:ind w:left="1440" w:hanging="720"/>
        <w:rPr>
          <w:sz w:val="22"/>
          <w:szCs w:val="22"/>
        </w:rPr>
      </w:pPr>
    </w:p>
    <w:p w:rsidR="003D1161" w:rsidRPr="00DB133A" w:rsidRDefault="003D1161" w:rsidP="003D1161">
      <w:pPr>
        <w:ind w:left="1440" w:hanging="720"/>
        <w:rPr>
          <w:sz w:val="22"/>
          <w:szCs w:val="22"/>
        </w:rPr>
      </w:pPr>
      <w:r w:rsidRPr="00DB133A">
        <w:rPr>
          <w:sz w:val="22"/>
          <w:szCs w:val="22"/>
        </w:rPr>
        <w:t>1.11</w:t>
      </w:r>
      <w:r w:rsidRPr="00DB133A">
        <w:rPr>
          <w:sz w:val="22"/>
          <w:szCs w:val="22"/>
        </w:rPr>
        <w:tab/>
        <w:t>Over-enrollment.</w:t>
      </w:r>
    </w:p>
    <w:p w:rsidR="003D1161" w:rsidRPr="00DB133A" w:rsidRDefault="003D1161" w:rsidP="003D1161">
      <w:pPr>
        <w:rPr>
          <w:sz w:val="22"/>
          <w:szCs w:val="22"/>
        </w:rPr>
      </w:pPr>
    </w:p>
    <w:p w:rsidR="003D1161" w:rsidRPr="00DB133A" w:rsidRDefault="003D1161" w:rsidP="003D1161">
      <w:pPr>
        <w:ind w:left="360" w:hanging="360"/>
        <w:rPr>
          <w:sz w:val="22"/>
          <w:szCs w:val="22"/>
        </w:rPr>
      </w:pPr>
      <w:r w:rsidRPr="00DB133A">
        <w:rPr>
          <w:sz w:val="22"/>
          <w:szCs w:val="22"/>
        </w:rPr>
        <w:t>2.</w:t>
      </w:r>
      <w:r w:rsidRPr="00DB133A">
        <w:rPr>
          <w:sz w:val="22"/>
          <w:szCs w:val="22"/>
        </w:rPr>
        <w:tab/>
        <w:t>Minor protocol violations include, but are not limited to:</w:t>
      </w:r>
    </w:p>
    <w:p w:rsidR="003D1161" w:rsidRPr="00DB133A" w:rsidRDefault="003D1161" w:rsidP="003D1161">
      <w:pPr>
        <w:ind w:left="360" w:hanging="360"/>
        <w:rPr>
          <w:sz w:val="22"/>
          <w:szCs w:val="22"/>
        </w:rPr>
      </w:pPr>
    </w:p>
    <w:p w:rsidR="003D1161" w:rsidRPr="00DB133A" w:rsidRDefault="003D1161" w:rsidP="003D1161">
      <w:pPr>
        <w:ind w:left="1440" w:hanging="720"/>
        <w:rPr>
          <w:sz w:val="22"/>
          <w:szCs w:val="22"/>
        </w:rPr>
      </w:pPr>
      <w:r w:rsidRPr="00DB133A">
        <w:rPr>
          <w:sz w:val="22"/>
          <w:szCs w:val="22"/>
        </w:rPr>
        <w:t>2.1</w:t>
      </w:r>
      <w:r w:rsidRPr="00DB133A">
        <w:rPr>
          <w:sz w:val="22"/>
          <w:szCs w:val="22"/>
        </w:rPr>
        <w:tab/>
        <w:t>Routine safety lab work for a participant without new clinical concerns and a history of previously normal lab values is inadvertently omitted at a study visit or performed outside the protocol-defined window.  The lab will be performed at the next opportunity and is expected to remain within normal limits.</w:t>
      </w:r>
    </w:p>
    <w:p w:rsidR="003D1161" w:rsidRPr="00DB133A" w:rsidRDefault="003D1161" w:rsidP="003D1161">
      <w:pPr>
        <w:ind w:left="1440" w:hanging="720"/>
        <w:rPr>
          <w:sz w:val="22"/>
          <w:szCs w:val="22"/>
        </w:rPr>
      </w:pPr>
    </w:p>
    <w:p w:rsidR="003D1161" w:rsidRPr="00DB133A" w:rsidRDefault="003D1161" w:rsidP="003D1161">
      <w:pPr>
        <w:ind w:left="1440" w:hanging="720"/>
        <w:rPr>
          <w:sz w:val="22"/>
          <w:szCs w:val="22"/>
        </w:rPr>
      </w:pPr>
      <w:r w:rsidRPr="00DB133A">
        <w:rPr>
          <w:sz w:val="22"/>
          <w:szCs w:val="22"/>
        </w:rPr>
        <w:t>2.2</w:t>
      </w:r>
      <w:r w:rsidRPr="00DB133A">
        <w:rPr>
          <w:sz w:val="22"/>
          <w:szCs w:val="22"/>
        </w:rPr>
        <w:tab/>
        <w:t xml:space="preserve">Investigators miss giving a study required self-administered quality of life questionnaire to a participant. </w:t>
      </w:r>
    </w:p>
    <w:p w:rsidR="003D1161" w:rsidRPr="00DB133A" w:rsidRDefault="003D1161" w:rsidP="003D1161">
      <w:pPr>
        <w:ind w:left="1440" w:hanging="720"/>
        <w:rPr>
          <w:sz w:val="22"/>
          <w:szCs w:val="22"/>
        </w:rPr>
      </w:pPr>
    </w:p>
    <w:p w:rsidR="003D1161" w:rsidRPr="00DB133A" w:rsidRDefault="003D1161" w:rsidP="003D1161">
      <w:pPr>
        <w:ind w:left="1440" w:hanging="720"/>
        <w:rPr>
          <w:sz w:val="22"/>
          <w:szCs w:val="22"/>
        </w:rPr>
      </w:pPr>
      <w:r w:rsidRPr="00DB133A">
        <w:rPr>
          <w:sz w:val="22"/>
          <w:szCs w:val="22"/>
        </w:rPr>
        <w:t>2.3</w:t>
      </w:r>
      <w:r w:rsidRPr="00DB133A">
        <w:rPr>
          <w:sz w:val="22"/>
          <w:szCs w:val="22"/>
        </w:rPr>
        <w:tab/>
        <w:t xml:space="preserve">Missing original signed and dated consent form (only a photocopy available). </w:t>
      </w:r>
    </w:p>
    <w:p w:rsidR="003D1161" w:rsidRPr="00DB133A" w:rsidRDefault="003D1161" w:rsidP="003D1161">
      <w:pPr>
        <w:ind w:left="1440" w:hanging="720"/>
        <w:rPr>
          <w:sz w:val="22"/>
          <w:szCs w:val="22"/>
        </w:rPr>
      </w:pPr>
    </w:p>
    <w:p w:rsidR="003D1161" w:rsidRPr="00DB133A" w:rsidRDefault="003D1161" w:rsidP="003D1161">
      <w:pPr>
        <w:ind w:left="1440" w:hanging="720"/>
        <w:rPr>
          <w:sz w:val="22"/>
          <w:szCs w:val="22"/>
        </w:rPr>
      </w:pPr>
      <w:r w:rsidRPr="00DB133A">
        <w:rPr>
          <w:sz w:val="22"/>
          <w:szCs w:val="22"/>
        </w:rPr>
        <w:t>2.4</w:t>
      </w:r>
      <w:r w:rsidRPr="00DB133A">
        <w:rPr>
          <w:sz w:val="22"/>
          <w:szCs w:val="22"/>
        </w:rPr>
        <w:tab/>
        <w:t>Failure of subject to return study medication.</w:t>
      </w:r>
    </w:p>
    <w:p w:rsidR="003D1161" w:rsidRPr="00DB133A" w:rsidRDefault="003D1161" w:rsidP="003D1161">
      <w:pPr>
        <w:ind w:left="1440" w:hanging="720"/>
        <w:rPr>
          <w:sz w:val="22"/>
          <w:szCs w:val="22"/>
        </w:rPr>
      </w:pPr>
    </w:p>
    <w:p w:rsidR="003D1161" w:rsidRPr="00DB133A" w:rsidRDefault="003D1161" w:rsidP="00DB133A">
      <w:pPr>
        <w:ind w:left="1440" w:hanging="720"/>
        <w:rPr>
          <w:sz w:val="22"/>
          <w:szCs w:val="22"/>
        </w:rPr>
      </w:pPr>
      <w:r w:rsidRPr="00DB133A">
        <w:rPr>
          <w:sz w:val="22"/>
          <w:szCs w:val="22"/>
        </w:rPr>
        <w:t>2.5</w:t>
      </w:r>
      <w:r w:rsidRPr="00DB133A">
        <w:rPr>
          <w:sz w:val="22"/>
          <w:szCs w:val="22"/>
        </w:rPr>
        <w:tab/>
        <w:t xml:space="preserve">Failure to obtain subject’s initials on each individual page of the consent form, or failure to obtain time of consent. </w:t>
      </w:r>
    </w:p>
    <w:p w:rsidR="003D1161" w:rsidRPr="00DB133A" w:rsidRDefault="003D1161" w:rsidP="003D1161">
      <w:pPr>
        <w:rPr>
          <w:sz w:val="22"/>
          <w:szCs w:val="22"/>
        </w:rPr>
      </w:pPr>
    </w:p>
    <w:p w:rsidR="003D1161" w:rsidRPr="00DB133A" w:rsidRDefault="003D1161" w:rsidP="003D1161">
      <w:pPr>
        <w:rPr>
          <w:sz w:val="22"/>
          <w:szCs w:val="22"/>
        </w:rPr>
      </w:pPr>
    </w:p>
    <w:sectPr w:rsidR="003D1161" w:rsidRPr="00DB133A" w:rsidSect="00DB133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18E" w:rsidRDefault="0075418E" w:rsidP="003D1161">
      <w:r>
        <w:separator/>
      </w:r>
    </w:p>
  </w:endnote>
  <w:endnote w:type="continuationSeparator" w:id="0">
    <w:p w:rsidR="0075418E" w:rsidRDefault="0075418E" w:rsidP="003D1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07A" w:rsidRDefault="0075418E">
    <w:pPr>
      <w:pStyle w:val="Footer"/>
      <w:ind w:right="360"/>
    </w:pPr>
  </w:p>
  <w:p w:rsidR="0002207A" w:rsidRDefault="0075418E" w:rsidP="00937D20">
    <w:pPr>
      <w:pStyle w:val="Footer"/>
      <w:ind w:right="360"/>
    </w:pPr>
    <w:r>
      <w:t>ver.</w:t>
    </w:r>
    <w:r>
      <w:t xml:space="preserve"> </w:t>
    </w:r>
    <w:r>
      <w:t xml:space="preserve"> </w:t>
    </w:r>
    <w:r w:rsidR="003D1161">
      <w:t>10/07</w:t>
    </w:r>
    <w:r>
      <w:t>/2015</w:t>
    </w:r>
  </w:p>
  <w:p w:rsidR="0002207A" w:rsidRDefault="007541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18E" w:rsidRDefault="0075418E" w:rsidP="003D1161">
      <w:r>
        <w:separator/>
      </w:r>
    </w:p>
  </w:footnote>
  <w:footnote w:type="continuationSeparator" w:id="0">
    <w:p w:rsidR="0075418E" w:rsidRDefault="0075418E" w:rsidP="003D11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82301"/>
    <w:multiLevelType w:val="hybridMultilevel"/>
    <w:tmpl w:val="09FE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B571F"/>
    <w:multiLevelType w:val="hybridMultilevel"/>
    <w:tmpl w:val="9F20208E"/>
    <w:lvl w:ilvl="0" w:tplc="C74AD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C93776A"/>
    <w:multiLevelType w:val="hybridMultilevel"/>
    <w:tmpl w:val="FF82A0F6"/>
    <w:lvl w:ilvl="0" w:tplc="A2D2EE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161"/>
    <w:rsid w:val="000B4803"/>
    <w:rsid w:val="003D1161"/>
    <w:rsid w:val="0075418E"/>
    <w:rsid w:val="00DB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18DD7-AC90-4A60-835F-EACF4B95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1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D1161"/>
    <w:pPr>
      <w:shd w:val="clear" w:color="auto" w:fill="CCCCFF"/>
      <w:jc w:val="center"/>
    </w:pPr>
    <w:rPr>
      <w:rFonts w:ascii="Century Gothic" w:hAnsi="Century Gothic"/>
      <w:b/>
      <w:smallCaps/>
      <w:sz w:val="28"/>
      <w:szCs w:val="28"/>
    </w:rPr>
  </w:style>
  <w:style w:type="character" w:customStyle="1" w:styleId="TitleChar">
    <w:name w:val="Title Char"/>
    <w:basedOn w:val="DefaultParagraphFont"/>
    <w:link w:val="Title"/>
    <w:rsid w:val="003D1161"/>
    <w:rPr>
      <w:rFonts w:ascii="Century Gothic" w:eastAsia="Times New Roman" w:hAnsi="Century Gothic" w:cs="Times New Roman"/>
      <w:b/>
      <w:smallCaps/>
      <w:sz w:val="28"/>
      <w:szCs w:val="28"/>
      <w:shd w:val="clear" w:color="auto" w:fill="CCCCFF"/>
    </w:rPr>
  </w:style>
  <w:style w:type="paragraph" w:styleId="Footer">
    <w:name w:val="footer"/>
    <w:basedOn w:val="Normal"/>
    <w:link w:val="FooterChar"/>
    <w:rsid w:val="003D1161"/>
    <w:pPr>
      <w:tabs>
        <w:tab w:val="center" w:pos="4320"/>
        <w:tab w:val="right" w:pos="8640"/>
      </w:tabs>
    </w:pPr>
  </w:style>
  <w:style w:type="character" w:customStyle="1" w:styleId="FooterChar">
    <w:name w:val="Footer Char"/>
    <w:basedOn w:val="DefaultParagraphFont"/>
    <w:link w:val="Footer"/>
    <w:rsid w:val="003D1161"/>
    <w:rPr>
      <w:rFonts w:ascii="Times New Roman" w:eastAsia="Times New Roman" w:hAnsi="Times New Roman" w:cs="Times New Roman"/>
      <w:sz w:val="24"/>
      <w:szCs w:val="24"/>
    </w:rPr>
  </w:style>
  <w:style w:type="paragraph" w:styleId="BodyTextIndent2">
    <w:name w:val="Body Text Indent 2"/>
    <w:basedOn w:val="Normal"/>
    <w:link w:val="BodyTextIndent2Char"/>
    <w:rsid w:val="003D1161"/>
    <w:pPr>
      <w:ind w:left="720"/>
    </w:pPr>
    <w:rPr>
      <w:szCs w:val="20"/>
    </w:rPr>
  </w:style>
  <w:style w:type="character" w:customStyle="1" w:styleId="BodyTextIndent2Char">
    <w:name w:val="Body Text Indent 2 Char"/>
    <w:basedOn w:val="DefaultParagraphFont"/>
    <w:link w:val="BodyTextIndent2"/>
    <w:rsid w:val="003D1161"/>
    <w:rPr>
      <w:rFonts w:ascii="Times New Roman" w:eastAsia="Times New Roman" w:hAnsi="Times New Roman" w:cs="Times New Roman"/>
      <w:sz w:val="24"/>
      <w:szCs w:val="20"/>
    </w:rPr>
  </w:style>
  <w:style w:type="character" w:styleId="Hyperlink">
    <w:name w:val="Hyperlink"/>
    <w:rsid w:val="003D1161"/>
    <w:rPr>
      <w:color w:val="0000FF"/>
      <w:u w:val="single"/>
    </w:rPr>
  </w:style>
  <w:style w:type="paragraph" w:styleId="ListParagraph">
    <w:name w:val="List Paragraph"/>
    <w:basedOn w:val="Normal"/>
    <w:uiPriority w:val="34"/>
    <w:qFormat/>
    <w:rsid w:val="003D1161"/>
    <w:pPr>
      <w:ind w:left="720"/>
      <w:contextualSpacing/>
    </w:pPr>
  </w:style>
  <w:style w:type="paragraph" w:styleId="Header">
    <w:name w:val="header"/>
    <w:basedOn w:val="Normal"/>
    <w:link w:val="HeaderChar"/>
    <w:uiPriority w:val="99"/>
    <w:unhideWhenUsed/>
    <w:rsid w:val="003D1161"/>
    <w:pPr>
      <w:tabs>
        <w:tab w:val="center" w:pos="4680"/>
        <w:tab w:val="right" w:pos="9360"/>
      </w:tabs>
    </w:pPr>
  </w:style>
  <w:style w:type="character" w:customStyle="1" w:styleId="HeaderChar">
    <w:name w:val="Header Char"/>
    <w:basedOn w:val="DefaultParagraphFont"/>
    <w:link w:val="Header"/>
    <w:uiPriority w:val="99"/>
    <w:rsid w:val="003D11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Diekmann, Anuradha (LLU)</dc:creator>
  <cp:keywords/>
  <dc:description/>
  <cp:lastModifiedBy>Diekmann, Anuradha (LLU)</cp:lastModifiedBy>
  <cp:revision>2</cp:revision>
  <dcterms:created xsi:type="dcterms:W3CDTF">2015-10-08T00:18:00Z</dcterms:created>
  <dcterms:modified xsi:type="dcterms:W3CDTF">2015-10-08T00:22:00Z</dcterms:modified>
</cp:coreProperties>
</file>